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6BE" w:rsidRDefault="00BF1EB3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>3GPP TSG RAN WG1 #109-e</w:t>
      </w:r>
      <w:r>
        <w:rPr>
          <w:rFonts w:ascii="Arial" w:hAnsi="Arial" w:cs="Arial"/>
          <w:b/>
          <w:sz w:val="22"/>
          <w:szCs w:val="22"/>
        </w:rPr>
        <w:tab/>
        <w:t>R1-2203206</w:t>
      </w:r>
    </w:p>
    <w:p w:rsidR="00F976BE" w:rsidRDefault="00BF1EB3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e-Meeting, May 9th – 20th, 2022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:rsidR="00F976BE" w:rsidRDefault="00F976BE">
      <w:pPr>
        <w:pStyle w:val="ad"/>
        <w:jc w:val="both"/>
      </w:pPr>
    </w:p>
    <w:p w:rsidR="00F976BE" w:rsidRDefault="00BF1EB3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of preliminary simulation results for NR duplex evolution</w:t>
      </w:r>
    </w:p>
    <w:p w:rsidR="00F976BE" w:rsidRDefault="00BF1EB3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F976BE" w:rsidRDefault="00BF1EB3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9.3.4</w:t>
      </w:r>
    </w:p>
    <w:p w:rsidR="00F976BE" w:rsidRDefault="00BF1EB3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F976BE" w:rsidRDefault="00BF1EB3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F976BE" w:rsidRDefault="00BF1EB3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RAN#95 meeting, a revised </w:t>
      </w:r>
      <w:r>
        <w:rPr>
          <w:lang w:val="en-GB" w:eastAsia="zh-CN"/>
        </w:rPr>
        <w:t>SID on NR duplex evolution has been endorsed with the following objectives</w:t>
      </w:r>
      <w:r>
        <w:rPr>
          <w:rFonts w:hint="eastAsia"/>
          <w:lang w:eastAsia="zh-CN"/>
        </w:rPr>
        <w:t xml:space="preserve"> [1]</w:t>
      </w:r>
      <w:r>
        <w:rPr>
          <w:lang w:val="en-GB" w:eastAsia="zh-CN"/>
        </w:rPr>
        <w:t>.</w:t>
      </w:r>
    </w:p>
    <w:tbl>
      <w:tblPr>
        <w:tblStyle w:val="af4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F976BE">
        <w:tc>
          <w:tcPr>
            <w:tcW w:w="9628" w:type="dxa"/>
          </w:tcPr>
          <w:p w:rsidR="00F976BE" w:rsidRDefault="00BF1EB3">
            <w:pPr>
              <w:spacing w:before="0" w:after="0" w:line="240" w:lineRule="auto"/>
              <w:ind w:right="-99"/>
              <w:rPr>
                <w:rFonts w:ascii="New York" w:hAnsi="New York"/>
                <w:bCs/>
                <w:lang w:eastAsia="ko-KR"/>
              </w:rPr>
            </w:pPr>
            <w:bookmarkStart w:id="3" w:name="_Hlk89819652"/>
            <w:r>
              <w:rPr>
                <w:rFonts w:ascii="New York" w:hAnsi="New York"/>
              </w:rPr>
              <w:t>The objective of this study is to identify and evaluate the potential enhancements to support duplex evolution for NR TDD in unpaired spectrum.</w:t>
            </w:r>
          </w:p>
          <w:p w:rsidR="00F976BE" w:rsidRDefault="00F976BE">
            <w:pPr>
              <w:spacing w:before="0" w:after="0" w:line="240" w:lineRule="auto"/>
              <w:ind w:right="-99"/>
              <w:rPr>
                <w:rFonts w:ascii="New York" w:hAnsi="New York"/>
                <w:bCs/>
                <w:lang w:eastAsia="ko-KR"/>
              </w:rPr>
            </w:pPr>
          </w:p>
          <w:p w:rsidR="00F976BE" w:rsidRDefault="00BF1EB3">
            <w:pPr>
              <w:spacing w:before="0" w:after="0" w:line="240" w:lineRule="auto"/>
              <w:ind w:right="-99"/>
              <w:rPr>
                <w:rFonts w:ascii="New York" w:hAnsi="New York"/>
                <w:bCs/>
                <w:lang w:eastAsia="ko-KR"/>
              </w:rPr>
            </w:pPr>
            <w:r>
              <w:rPr>
                <w:rFonts w:ascii="New York" w:hAnsi="New York"/>
                <w:bCs/>
                <w:lang w:eastAsia="ko-KR"/>
              </w:rPr>
              <w:t>In this study, the followings a</w:t>
            </w:r>
            <w:r>
              <w:rPr>
                <w:rFonts w:ascii="New York" w:hAnsi="New York"/>
                <w:bCs/>
                <w:lang w:eastAsia="ko-KR"/>
              </w:rPr>
              <w:t>re assumed:</w:t>
            </w:r>
          </w:p>
          <w:p w:rsidR="00F976BE" w:rsidRDefault="00BF1EB3">
            <w:pPr>
              <w:numPr>
                <w:ilvl w:val="0"/>
                <w:numId w:val="11"/>
              </w:numPr>
              <w:spacing w:before="0" w:after="0" w:line="240" w:lineRule="auto"/>
              <w:rPr>
                <w:rFonts w:ascii="New York" w:hAnsi="New York"/>
                <w:bCs/>
                <w:lang w:eastAsia="ko-KR"/>
              </w:rPr>
            </w:pPr>
            <w:r>
              <w:rPr>
                <w:rFonts w:ascii="New York" w:eastAsia="Malgun Gothic" w:hAnsi="New York"/>
                <w:bCs/>
                <w:lang w:eastAsia="ko-KR"/>
              </w:rPr>
              <w:t>Duplex enhancement at the gNB side</w:t>
            </w:r>
          </w:p>
          <w:p w:rsidR="00F976BE" w:rsidRDefault="00BF1EB3">
            <w:pPr>
              <w:numPr>
                <w:ilvl w:val="0"/>
                <w:numId w:val="11"/>
              </w:numPr>
              <w:spacing w:before="0" w:after="0" w:line="240" w:lineRule="auto"/>
              <w:rPr>
                <w:rFonts w:ascii="New York" w:hAnsi="New York"/>
                <w:bCs/>
                <w:lang w:eastAsia="ko-KR"/>
              </w:rPr>
            </w:pPr>
            <w:r>
              <w:rPr>
                <w:rFonts w:ascii="New York" w:eastAsia="Malgun Gothic" w:hAnsi="New York"/>
                <w:bCs/>
                <w:lang w:eastAsia="ko-KR"/>
              </w:rPr>
              <w:t>Half duplex operation at the UE side</w:t>
            </w:r>
          </w:p>
          <w:p w:rsidR="00F976BE" w:rsidRDefault="00BF1EB3">
            <w:pPr>
              <w:numPr>
                <w:ilvl w:val="0"/>
                <w:numId w:val="11"/>
              </w:numPr>
              <w:spacing w:before="0" w:after="0" w:line="240" w:lineRule="auto"/>
              <w:rPr>
                <w:rFonts w:ascii="New York" w:hAnsi="New York"/>
                <w:bCs/>
                <w:lang w:eastAsia="ko-KR"/>
              </w:rPr>
            </w:pPr>
            <w:r>
              <w:rPr>
                <w:rFonts w:ascii="New York" w:eastAsia="Malgun Gothic" w:hAnsi="New York"/>
                <w:bCs/>
                <w:lang w:eastAsia="ko-KR"/>
              </w:rPr>
              <w:t>No restriction on frequency ranges</w:t>
            </w:r>
          </w:p>
          <w:p w:rsidR="00F976BE" w:rsidRDefault="00F976BE">
            <w:pPr>
              <w:spacing w:before="0" w:after="0" w:line="240" w:lineRule="auto"/>
              <w:ind w:right="-99"/>
              <w:rPr>
                <w:rFonts w:ascii="New York" w:hAnsi="New York"/>
                <w:bCs/>
                <w:lang w:eastAsia="ko-KR"/>
              </w:rPr>
            </w:pPr>
          </w:p>
          <w:p w:rsidR="00F976BE" w:rsidRDefault="00BF1EB3">
            <w:pPr>
              <w:spacing w:before="0" w:after="0" w:line="240" w:lineRule="auto"/>
              <w:ind w:right="-99"/>
              <w:rPr>
                <w:rFonts w:ascii="New York" w:hAnsi="New York"/>
                <w:bCs/>
                <w:lang w:eastAsia="ko-KR"/>
              </w:rPr>
            </w:pPr>
            <w:r>
              <w:rPr>
                <w:rFonts w:ascii="New York" w:hAnsi="New York" w:hint="eastAsia"/>
                <w:bCs/>
                <w:lang w:eastAsia="ko-KR"/>
              </w:rPr>
              <w:t xml:space="preserve">The detailed objectives are as </w:t>
            </w:r>
            <w:r>
              <w:rPr>
                <w:rFonts w:ascii="New York" w:hAnsi="New York"/>
                <w:bCs/>
                <w:lang w:eastAsia="ko-KR"/>
              </w:rPr>
              <w:t>follows</w:t>
            </w:r>
            <w:r>
              <w:rPr>
                <w:rFonts w:ascii="New York" w:hAnsi="New York" w:hint="eastAsia"/>
                <w:bCs/>
                <w:lang w:eastAsia="ko-KR"/>
              </w:rPr>
              <w:t>:</w:t>
            </w:r>
          </w:p>
          <w:p w:rsidR="00F976BE" w:rsidRDefault="00BF1EB3">
            <w:pPr>
              <w:numPr>
                <w:ilvl w:val="0"/>
                <w:numId w:val="12"/>
              </w:num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Identify applicable and relevant deployment scenarios (RAN1).</w:t>
            </w:r>
          </w:p>
          <w:p w:rsidR="00F976BE" w:rsidRDefault="00BF1EB3">
            <w:pPr>
              <w:numPr>
                <w:ilvl w:val="0"/>
                <w:numId w:val="12"/>
              </w:num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Develop evaluation methodology for</w:t>
            </w:r>
            <w:r>
              <w:rPr>
                <w:rFonts w:ascii="New York" w:hAnsi="New York"/>
              </w:rPr>
              <w:t xml:space="preserve"> duplex enhancement (RAN1).</w:t>
            </w:r>
          </w:p>
          <w:p w:rsidR="00F976BE" w:rsidRDefault="00BF1EB3">
            <w:pPr>
              <w:numPr>
                <w:ilvl w:val="0"/>
                <w:numId w:val="12"/>
              </w:num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eastAsia="Malgun Gothic" w:hAnsi="New York" w:hint="eastAsia"/>
                <w:lang w:eastAsia="ko-KR"/>
              </w:rPr>
              <w:t xml:space="preserve">Study </w:t>
            </w:r>
            <w:r>
              <w:rPr>
                <w:rFonts w:ascii="New York" w:eastAsia="Malgun Gothic" w:hAnsi="New York"/>
                <w:lang w:eastAsia="ko-KR"/>
              </w:rPr>
              <w:t xml:space="preserve">the subband non-overlapping full duplex and </w:t>
            </w:r>
            <w:bookmarkStart w:id="4" w:name="_Hlk89796625"/>
            <w:r>
              <w:rPr>
                <w:rFonts w:ascii="New York" w:eastAsia="Malgun Gothic" w:hAnsi="New York"/>
                <w:lang w:eastAsia="ko-KR"/>
              </w:rPr>
              <w:t xml:space="preserve">potential enhancements on </w:t>
            </w:r>
            <w:r>
              <w:rPr>
                <w:rFonts w:ascii="New York" w:eastAsia="Malgun Gothic" w:hAnsi="New York"/>
                <w:bCs/>
                <w:lang w:eastAsia="ko-KR"/>
              </w:rPr>
              <w:t>dynamic/flexible TDD</w:t>
            </w:r>
            <w:bookmarkEnd w:id="4"/>
            <w:r>
              <w:rPr>
                <w:rFonts w:ascii="New York" w:eastAsia="Malgun Gothic" w:hAnsi="New York"/>
                <w:bCs/>
                <w:lang w:eastAsia="ko-KR"/>
              </w:rPr>
              <w:t xml:space="preserve"> (RAN1, RAN4).</w:t>
            </w:r>
          </w:p>
          <w:p w:rsidR="00F976BE" w:rsidRDefault="00BF1EB3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New York" w:eastAsia="Malgun Gothic" w:hAnsi="New York"/>
                <w:bCs/>
                <w:lang w:eastAsia="ko-KR"/>
              </w:rPr>
            </w:pPr>
            <w:r>
              <w:rPr>
                <w:rFonts w:ascii="New York" w:eastAsia="Malgun Gothic" w:hAnsi="New York"/>
                <w:bCs/>
                <w:lang w:eastAsia="ko-KR"/>
              </w:rPr>
              <w:t>Identify possible schemes and evaluate their feasibility and performances (RAN1).</w:t>
            </w:r>
          </w:p>
          <w:p w:rsidR="00F976BE" w:rsidRDefault="00BF1EB3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New York" w:eastAsia="Malgun Gothic" w:hAnsi="New York"/>
                <w:bCs/>
                <w:lang w:eastAsia="ko-KR"/>
              </w:rPr>
            </w:pPr>
            <w:r>
              <w:rPr>
                <w:rFonts w:ascii="New York" w:eastAsia="Malgun Gothic" w:hAnsi="New York"/>
                <w:bCs/>
                <w:lang w:eastAsia="ko-KR"/>
              </w:rPr>
              <w:t>Study inter-gNB and inter-UE CLI ha</w:t>
            </w:r>
            <w:r>
              <w:rPr>
                <w:rFonts w:ascii="New York" w:eastAsia="Malgun Gothic" w:hAnsi="New York"/>
                <w:bCs/>
                <w:lang w:eastAsia="ko-KR"/>
              </w:rPr>
              <w:t xml:space="preserve">ndling and identify solutions to manage them (RAN1). </w:t>
            </w:r>
          </w:p>
          <w:p w:rsidR="00F976BE" w:rsidRDefault="00BF1EB3">
            <w:pPr>
              <w:pStyle w:val="a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New York" w:eastAsia="Malgun Gothic" w:hAnsi="New York"/>
                <w:bCs/>
                <w:lang w:eastAsia="ko-KR"/>
              </w:rPr>
            </w:pPr>
            <w:r>
              <w:rPr>
                <w:rFonts w:ascii="New York" w:eastAsia="Malgun Gothic" w:hAnsi="New York"/>
                <w:bCs/>
                <w:lang w:eastAsia="ko-KR"/>
              </w:rPr>
              <w:t xml:space="preserve">Consider intra-subband CLI and inter-subband CLI in case of the </w:t>
            </w:r>
            <w:r>
              <w:rPr>
                <w:rFonts w:ascii="New York" w:eastAsia="Malgun Gothic" w:hAnsi="New York"/>
                <w:lang w:val="en-US" w:eastAsia="ko-KR"/>
              </w:rPr>
              <w:t>subband non-overlapping full duplex</w:t>
            </w:r>
            <w:r>
              <w:rPr>
                <w:rFonts w:ascii="New York" w:eastAsia="Malgun Gothic" w:hAnsi="New York"/>
                <w:bCs/>
                <w:lang w:eastAsia="ko-KR"/>
              </w:rPr>
              <w:t>.</w:t>
            </w:r>
          </w:p>
          <w:p w:rsidR="00F976BE" w:rsidRDefault="00BF1EB3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New York" w:eastAsia="Malgun Gothic" w:hAnsi="New York"/>
                <w:bCs/>
                <w:lang w:eastAsia="ko-KR"/>
              </w:rPr>
            </w:pPr>
            <w:r>
              <w:rPr>
                <w:rFonts w:ascii="New York" w:eastAsia="Malgun Gothic" w:hAnsi="New York"/>
                <w:bCs/>
                <w:lang w:eastAsia="ko-KR"/>
              </w:rPr>
              <w:t>Study the performance of the identified schemes as well as the impact on legacy operation assuming th</w:t>
            </w:r>
            <w:r>
              <w:rPr>
                <w:rFonts w:ascii="New York" w:eastAsia="Malgun Gothic" w:hAnsi="New York"/>
                <w:bCs/>
                <w:lang w:eastAsia="ko-KR"/>
              </w:rPr>
              <w:t>eir co-existence in co-channel and adjacent channels (RAN1).</w:t>
            </w:r>
          </w:p>
          <w:p w:rsidR="00F976BE" w:rsidRDefault="00BF1EB3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jc w:val="left"/>
              <w:textAlignment w:val="baseline"/>
              <w:rPr>
                <w:rFonts w:ascii="New York" w:eastAsia="Malgun Gothic" w:hAnsi="New York"/>
                <w:bCs/>
                <w:lang w:eastAsia="ko-KR"/>
              </w:rPr>
            </w:pPr>
            <w:r>
              <w:rPr>
                <w:rFonts w:ascii="New York" w:eastAsia="Malgun Gothic" w:hAnsi="New York"/>
                <w:bCs/>
                <w:lang w:eastAsia="ko-KR"/>
              </w:rPr>
              <w:t>Study the feasibility of and impact on RF requirements considering adjacent-channel co-existence with the legacy operation (RAN4).</w:t>
            </w:r>
          </w:p>
          <w:p w:rsidR="00F976BE" w:rsidRDefault="00BF1EB3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New York" w:eastAsia="Malgun Gothic" w:hAnsi="New York"/>
                <w:bCs/>
                <w:lang w:eastAsia="ko-KR"/>
              </w:rPr>
            </w:pPr>
            <w:r>
              <w:rPr>
                <w:rFonts w:ascii="New York" w:eastAsia="Malgun Gothic" w:hAnsi="New York"/>
                <w:bCs/>
                <w:lang w:eastAsia="ko-KR"/>
              </w:rPr>
              <w:t>Study the feasibility of and impact on RF requirements consideri</w:t>
            </w:r>
            <w:r>
              <w:rPr>
                <w:rFonts w:ascii="New York" w:eastAsia="Malgun Gothic" w:hAnsi="New York"/>
                <w:bCs/>
                <w:lang w:eastAsia="ko-KR"/>
              </w:rPr>
              <w:t>ng the self-interference, the inter-subband CLI, and the inter-operator CLI at gNB and the inter-subband CLI and inter-operator CLI at UE (RAN4).</w:t>
            </w:r>
          </w:p>
          <w:p w:rsidR="00F976BE" w:rsidRDefault="00BF1EB3">
            <w:pPr>
              <w:pStyle w:val="a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New York" w:eastAsia="Malgun Gothic" w:hAnsi="New York"/>
                <w:bCs/>
                <w:lang w:eastAsia="ko-KR"/>
              </w:rPr>
            </w:pPr>
            <w:r>
              <w:rPr>
                <w:rFonts w:ascii="New York" w:eastAsia="Malgun Gothic" w:hAnsi="New York"/>
                <w:bCs/>
                <w:lang w:eastAsia="ko-KR"/>
              </w:rPr>
              <w:t>Note: RAN4 should be involved early to provide necessary information to RAN1 as needed and to study the feasib</w:t>
            </w:r>
            <w:r>
              <w:rPr>
                <w:rFonts w:ascii="New York" w:eastAsia="Malgun Gothic" w:hAnsi="New York"/>
                <w:bCs/>
                <w:lang w:eastAsia="ko-KR"/>
              </w:rPr>
              <w:t>ility aspects due to high impact in antenna/RF and algorithm design, which include antenna isolation, TX IM suppression in the RX part, filtering and digital interference suppression.</w:t>
            </w:r>
          </w:p>
          <w:p w:rsidR="00F976BE" w:rsidRDefault="00BF1EB3">
            <w:pPr>
              <w:pStyle w:val="a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New York" w:hAnsi="New York"/>
                <w:lang w:val="en-US"/>
              </w:rPr>
            </w:pPr>
            <w:r>
              <w:rPr>
                <w:rFonts w:ascii="New York" w:hAnsi="New York"/>
                <w:lang w:val="en-US"/>
              </w:rPr>
              <w:t>Summarize the regulatory aspects that have to be considered for deployin</w:t>
            </w:r>
            <w:r>
              <w:rPr>
                <w:rFonts w:ascii="New York" w:hAnsi="New York"/>
                <w:lang w:val="en-US"/>
              </w:rPr>
              <w:t>g the identified duplex enhancements in TDD unpaired spectrum (RAN4).</w:t>
            </w:r>
          </w:p>
          <w:p w:rsidR="00F976BE" w:rsidRDefault="00F976BE">
            <w:pPr>
              <w:overflowPunct/>
              <w:autoSpaceDE/>
              <w:autoSpaceDN/>
              <w:adjustRightInd/>
              <w:spacing w:before="0" w:after="0" w:line="240" w:lineRule="auto"/>
              <w:ind w:right="-99"/>
              <w:textAlignment w:val="auto"/>
              <w:rPr>
                <w:rFonts w:ascii="New York" w:hAnsi="New York"/>
              </w:rPr>
            </w:pPr>
          </w:p>
          <w:p w:rsidR="00F976BE" w:rsidRDefault="00BF1EB3">
            <w:pPr>
              <w:spacing w:before="0" w:after="0" w:line="240" w:lineRule="auto"/>
              <w:rPr>
                <w:rFonts w:ascii="New York" w:eastAsia="Malgun Gothic" w:hAnsi="New York"/>
                <w:bCs/>
                <w:lang w:eastAsia="ko-KR"/>
              </w:rPr>
            </w:pPr>
            <w:r>
              <w:rPr>
                <w:rFonts w:ascii="New York" w:eastAsia="Malgun Gothic" w:hAnsi="New York"/>
                <w:bCs/>
                <w:lang w:eastAsia="ko-KR"/>
              </w:rPr>
              <w:t xml:space="preserve">Note: For potential enhancements on dynamic/flexible TDD, utilize the outcome of discussion in Rel-15 and Rel-16 while avoiding the repetition of the same discussion. </w:t>
            </w:r>
            <w:bookmarkEnd w:id="3"/>
          </w:p>
        </w:tc>
      </w:tr>
    </w:tbl>
    <w:p w:rsidR="00F976BE" w:rsidRDefault="00F976BE">
      <w:pPr>
        <w:rPr>
          <w:lang w:val="en-GB" w:eastAsia="zh-CN"/>
        </w:rPr>
      </w:pPr>
    </w:p>
    <w:p w:rsidR="00F976BE" w:rsidRDefault="00BF1EB3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we provide some preliminary geometry results for subband full duplex. </w:t>
      </w:r>
    </w:p>
    <w:p w:rsidR="00F976BE" w:rsidRDefault="00BF1EB3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F976BE" w:rsidRDefault="00BF1EB3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parameters</w:t>
      </w:r>
    </w:p>
    <w:p w:rsidR="00F976BE" w:rsidRDefault="00BF1EB3">
      <w:pPr>
        <w:rPr>
          <w:lang w:eastAsia="zh-CN"/>
        </w:rPr>
      </w:pPr>
      <w:r>
        <w:rPr>
          <w:rFonts w:hint="eastAsia"/>
          <w:lang w:eastAsia="zh-CN"/>
        </w:rPr>
        <w:t>The simulation parameters are summarized in the following table. And the detail simulation assumptions can be found 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rFonts w:hint="eastAsia"/>
          <w:lang w:eastAsia="zh-CN"/>
        </w:rPr>
        <w:t xml:space="preserve">. </w:t>
      </w:r>
    </w:p>
    <w:p w:rsidR="00F976BE" w:rsidRDefault="00BF1EB3">
      <w:pPr>
        <w:jc w:val="center"/>
        <w:rPr>
          <w:lang w:eastAsia="zh-CN"/>
        </w:rPr>
      </w:pPr>
      <w:r>
        <w:rPr>
          <w:rFonts w:hint="eastAsia"/>
          <w:lang w:eastAsia="zh-CN"/>
        </w:rPr>
        <w:t>Table.</w:t>
      </w:r>
      <w:r>
        <w:rPr>
          <w:rFonts w:hint="eastAsia"/>
          <w:lang w:eastAsia="zh-CN"/>
        </w:rPr>
        <w:t>1 simulation parameter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24"/>
        <w:gridCol w:w="7204"/>
      </w:tblGrid>
      <w:tr w:rsidR="00F976BE">
        <w:trPr>
          <w:trHeight w:val="386"/>
        </w:trPr>
        <w:tc>
          <w:tcPr>
            <w:tcW w:w="2462" w:type="dxa"/>
            <w:shd w:val="clear" w:color="auto" w:fill="AEAAAA" w:themeFill="background2" w:themeFillShade="BF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lang w:val="en-GB" w:eastAsia="zh-CN"/>
              </w:rPr>
            </w:pPr>
            <w:r>
              <w:rPr>
                <w:rFonts w:ascii="Times New Roman" w:hAnsi="Times New Roman"/>
              </w:rPr>
              <w:lastRenderedPageBreak/>
              <w:t>Parameters</w:t>
            </w:r>
          </w:p>
        </w:tc>
        <w:tc>
          <w:tcPr>
            <w:tcW w:w="7392" w:type="dxa"/>
            <w:shd w:val="clear" w:color="auto" w:fill="AEAAAA" w:themeFill="background2" w:themeFillShade="BF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lang w:val="en-GB" w:eastAsia="zh-CN"/>
              </w:rPr>
            </w:pPr>
            <w:r>
              <w:rPr>
                <w:rFonts w:ascii="Times New Roman" w:hAnsi="Times New Roman"/>
                <w:lang w:eastAsia="zh-CN"/>
              </w:rPr>
              <w:t>Value</w:t>
            </w:r>
          </w:p>
        </w:tc>
      </w:tr>
      <w:tr w:rsidR="00F976BE">
        <w:trPr>
          <w:trHeight w:val="386"/>
        </w:trPr>
        <w:tc>
          <w:tcPr>
            <w:tcW w:w="246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b w:val="0"/>
                <w:bCs/>
                <w:lang w:eastAsia="zh-CN"/>
              </w:rPr>
              <w:t>Scenario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eastAsia="zh-CN"/>
              </w:rPr>
            </w:pPr>
            <w:r>
              <w:rPr>
                <w:rFonts w:ascii="Times New Roman" w:hAnsi="Times New Roman"/>
                <w:b w:val="0"/>
                <w:bCs/>
                <w:lang w:eastAsia="zh-CN"/>
              </w:rPr>
              <w:t>Urban Macro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spacing w:before="0" w:after="0" w:line="240" w:lineRule="auto"/>
              <w:jc w:val="center"/>
              <w:rPr>
                <w:rFonts w:ascii="New York" w:hAnsi="New York"/>
                <w:lang w:val="en-GB" w:eastAsia="zh-CN"/>
              </w:rPr>
            </w:pPr>
            <w:r>
              <w:rPr>
                <w:rFonts w:ascii="New York" w:hAnsi="New York"/>
                <w:bCs/>
                <w:lang w:eastAsia="zh-CN"/>
              </w:rPr>
              <w:t>Layout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eastAsia="ja-JP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Single layer - Macro layer: Hex. Grid</w:t>
            </w:r>
          </w:p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val="en-GB" w:eastAsia="zh-CN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7 sites, 21cells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lang w:val="en-GB" w:eastAsia="zh-CN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Inter-BS distance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spacing w:before="0" w:after="0" w:line="240" w:lineRule="auto"/>
              <w:jc w:val="center"/>
              <w:rPr>
                <w:rFonts w:ascii="New York" w:hAnsi="New York"/>
                <w:bCs/>
                <w:sz w:val="18"/>
                <w:lang w:eastAsia="zh-CN"/>
              </w:rPr>
            </w:pPr>
            <w:r>
              <w:rPr>
                <w:rFonts w:ascii="New York" w:hAnsi="New York"/>
                <w:bCs/>
                <w:sz w:val="18"/>
                <w:lang w:eastAsia="ja-JP"/>
              </w:rPr>
              <w:t>500m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lang w:val="en-GB" w:eastAsia="zh-CN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Carrier frequency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spacing w:before="0" w:after="0" w:line="240" w:lineRule="auto"/>
              <w:jc w:val="center"/>
              <w:rPr>
                <w:rFonts w:ascii="New York" w:hAnsi="New York"/>
                <w:bCs/>
                <w:sz w:val="18"/>
                <w:lang w:val="en-GB" w:eastAsia="zh-CN"/>
              </w:rPr>
            </w:pPr>
            <w:r>
              <w:rPr>
                <w:rFonts w:ascii="New York" w:hAnsi="New York"/>
                <w:bCs/>
                <w:sz w:val="18"/>
                <w:lang w:eastAsia="zh-CN"/>
              </w:rPr>
              <w:t>4GHz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spacing w:before="0" w:after="0" w:line="240" w:lineRule="auto"/>
              <w:jc w:val="center"/>
              <w:rPr>
                <w:rFonts w:ascii="New York" w:hAnsi="New York"/>
                <w:lang w:val="en-GB" w:eastAsia="zh-CN"/>
              </w:rPr>
            </w:pPr>
            <w:r>
              <w:rPr>
                <w:rFonts w:ascii="New York" w:hAnsi="New York"/>
                <w:bCs/>
                <w:sz w:val="18"/>
                <w:lang w:eastAsia="ja-JP"/>
              </w:rPr>
              <w:t>Simulation bandwidth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spacing w:before="0" w:after="0" w:line="240" w:lineRule="auto"/>
              <w:jc w:val="center"/>
              <w:rPr>
                <w:rFonts w:ascii="New York" w:hAnsi="New York"/>
                <w:bCs/>
                <w:sz w:val="18"/>
                <w:lang w:val="en-GB" w:eastAsia="zh-CN"/>
              </w:rPr>
            </w:pPr>
            <w:r>
              <w:rPr>
                <w:rFonts w:ascii="New York" w:hAnsi="New York"/>
                <w:bCs/>
                <w:sz w:val="18"/>
                <w:lang w:val="de-DE" w:eastAsia="zh-CN"/>
              </w:rPr>
              <w:t>100 MHz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lang w:val="en-GB" w:eastAsia="zh-CN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BS Tx power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spacing w:before="0" w:after="0" w:line="240" w:lineRule="auto"/>
              <w:jc w:val="center"/>
              <w:rPr>
                <w:rFonts w:ascii="New York" w:hAnsi="New York"/>
                <w:bCs/>
                <w:sz w:val="18"/>
                <w:lang w:val="en-GB" w:eastAsia="zh-CN"/>
              </w:rPr>
            </w:pPr>
            <w:r>
              <w:rPr>
                <w:rFonts w:ascii="New York" w:hAnsi="New York"/>
                <w:bCs/>
                <w:sz w:val="18"/>
                <w:lang w:eastAsia="zh-CN"/>
              </w:rPr>
              <w:t>33dBm/MHz based on TR 38.830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lang w:val="en-GB" w:eastAsia="zh-CN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 xml:space="preserve">UE Tx </w:t>
            </w:r>
            <w:r>
              <w:rPr>
                <w:rFonts w:ascii="Times New Roman" w:hAnsi="Times New Roman"/>
                <w:b w:val="0"/>
                <w:bCs/>
                <w:lang w:eastAsia="ja-JP"/>
              </w:rPr>
              <w:t>power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spacing w:before="0" w:after="0" w:line="240" w:lineRule="auto"/>
              <w:jc w:val="center"/>
              <w:rPr>
                <w:rFonts w:ascii="New York" w:hAnsi="New York"/>
                <w:bCs/>
                <w:sz w:val="18"/>
                <w:lang w:val="en-GB" w:eastAsia="zh-CN"/>
              </w:rPr>
            </w:pPr>
            <w:r>
              <w:rPr>
                <w:rFonts w:ascii="New York" w:hAnsi="New York"/>
                <w:bCs/>
                <w:sz w:val="18"/>
                <w:lang w:eastAsia="ja-JP"/>
              </w:rPr>
              <w:t>23dBm</w:t>
            </w:r>
          </w:p>
        </w:tc>
      </w:tr>
      <w:tr w:rsidR="00F976BE">
        <w:trPr>
          <w:trHeight w:val="811"/>
        </w:trPr>
        <w:tc>
          <w:tcPr>
            <w:tcW w:w="246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eastAsia="ja-JP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BS antenna configuration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pStyle w:val="TAL"/>
              <w:spacing w:before="0" w:line="240" w:lineRule="auto"/>
              <w:jc w:val="center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 w:hint="eastAsia"/>
                <w:bCs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lang w:eastAsia="ja-JP"/>
              </w:rPr>
              <w:t xml:space="preserve"> Tx/</w:t>
            </w:r>
            <w:r>
              <w:rPr>
                <w:rFonts w:ascii="Times New Roman" w:hAnsi="Times New Roman" w:hint="eastAsia"/>
                <w:bCs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lang w:eastAsia="ja-JP"/>
              </w:rPr>
              <w:t xml:space="preserve"> Rx antenna ports</w:t>
            </w:r>
          </w:p>
          <w:p w:rsidR="00F976BE" w:rsidRDefault="00BF1EB3">
            <w:pPr>
              <w:pStyle w:val="TAL"/>
              <w:spacing w:before="0" w:line="240" w:lineRule="auto"/>
              <w:jc w:val="center"/>
              <w:rPr>
                <w:rFonts w:ascii="Times New Roman" w:hAnsi="Times New Roman"/>
                <w:bCs/>
                <w:lang w:eastAsia="ja-JP"/>
              </w:rPr>
            </w:pPr>
            <w:r>
              <w:rPr>
                <w:rFonts w:ascii="Times New Roman" w:hAnsi="Times New Roman"/>
                <w:bCs/>
                <w:lang w:eastAsia="ja-JP"/>
              </w:rPr>
              <w:t>(M, N, P, Mg, Ng; Mp, Np) = (</w:t>
            </w:r>
            <w:r>
              <w:rPr>
                <w:rFonts w:ascii="Times New Roman" w:hAnsi="Times New Roman" w:hint="eastAsia"/>
                <w:bCs/>
                <w:lang w:eastAsia="zh-CN"/>
              </w:rPr>
              <w:t>4</w:t>
            </w:r>
            <w:r>
              <w:rPr>
                <w:rFonts w:ascii="Times New Roman" w:hAnsi="Times New Roman"/>
                <w:bCs/>
                <w:lang w:eastAsia="ja-JP"/>
              </w:rPr>
              <w:t xml:space="preserve">, </w:t>
            </w:r>
            <w:r>
              <w:rPr>
                <w:rFonts w:ascii="Times New Roman" w:hAnsi="Times New Roman" w:hint="eastAsia"/>
                <w:bCs/>
                <w:lang w:eastAsia="zh-CN"/>
              </w:rPr>
              <w:t>8</w:t>
            </w:r>
            <w:r>
              <w:rPr>
                <w:rFonts w:ascii="Times New Roman" w:hAnsi="Times New Roman"/>
                <w:bCs/>
                <w:lang w:eastAsia="ja-JP"/>
              </w:rPr>
              <w:t xml:space="preserve">, 2, 1, 1; </w:t>
            </w:r>
            <w:r>
              <w:rPr>
                <w:rFonts w:ascii="Times New Roman" w:hAnsi="Times New Roman" w:hint="eastAsia"/>
                <w:bCs/>
                <w:lang w:eastAsia="zh-CN"/>
              </w:rPr>
              <w:t>4</w:t>
            </w:r>
            <w:r>
              <w:rPr>
                <w:rFonts w:ascii="Times New Roman" w:hAnsi="Times New Roman"/>
                <w:bCs/>
                <w:lang w:eastAsia="ja-JP"/>
              </w:rPr>
              <w:t xml:space="preserve">, </w:t>
            </w:r>
            <w:r>
              <w:rPr>
                <w:rFonts w:ascii="Times New Roman" w:hAnsi="Times New Roman" w:hint="eastAsia"/>
                <w:bCs/>
                <w:lang w:eastAsia="zh-CN"/>
              </w:rPr>
              <w:t>8</w:t>
            </w:r>
            <w:r>
              <w:rPr>
                <w:rFonts w:ascii="Times New Roman" w:hAnsi="Times New Roman"/>
                <w:bCs/>
                <w:lang w:eastAsia="ja-JP"/>
              </w:rPr>
              <w:t>) ;</w:t>
            </w:r>
          </w:p>
          <w:p w:rsidR="00F976BE" w:rsidRDefault="00BF1EB3">
            <w:pPr>
              <w:pStyle w:val="TAL"/>
              <w:spacing w:before="0" w:line="240" w:lineRule="auto"/>
              <w:jc w:val="center"/>
              <w:rPr>
                <w:rFonts w:ascii="Times New Roman" w:hAnsi="Times New Roman"/>
                <w:bCs/>
                <w:lang w:val="en-GB" w:eastAsia="zh-CN"/>
              </w:rPr>
            </w:pPr>
            <w:r>
              <w:rPr>
                <w:rFonts w:ascii="Times New Roman" w:hAnsi="Times New Roman"/>
                <w:bCs/>
                <w:lang w:eastAsia="ja-JP"/>
              </w:rPr>
              <w:t>(dH, dV) = (0.5, 0.8)λ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eastAsia="ja-JP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BS antenna height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spacing w:before="0" w:after="0" w:line="240" w:lineRule="auto"/>
              <w:jc w:val="center"/>
              <w:rPr>
                <w:rFonts w:ascii="New York" w:hAnsi="New York"/>
                <w:bCs/>
                <w:sz w:val="18"/>
                <w:lang w:val="en-GB" w:eastAsia="zh-CN"/>
              </w:rPr>
            </w:pPr>
            <w:r>
              <w:rPr>
                <w:rFonts w:ascii="New York" w:hAnsi="New York"/>
                <w:bCs/>
                <w:sz w:val="18"/>
                <w:lang w:eastAsia="zh-CN"/>
              </w:rPr>
              <w:t>25m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eastAsia="ja-JP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BS receiver noise figure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spacing w:before="0" w:after="0" w:line="240" w:lineRule="auto"/>
              <w:jc w:val="center"/>
              <w:rPr>
                <w:rFonts w:ascii="New York" w:hAnsi="New York"/>
                <w:bCs/>
                <w:sz w:val="18"/>
                <w:lang w:val="en-GB" w:eastAsia="zh-CN"/>
              </w:rPr>
            </w:pPr>
            <w:r>
              <w:rPr>
                <w:rFonts w:ascii="New York" w:hAnsi="New York"/>
                <w:bCs/>
                <w:sz w:val="18"/>
                <w:lang w:eastAsia="zh-CN"/>
              </w:rPr>
              <w:t>5dB for 4GHz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eastAsia="ja-JP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UE antenna configuration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eastAsia="ja-JP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For 4GHz:</w:t>
            </w:r>
          </w:p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eastAsia="ja-JP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 xml:space="preserve">2 Tx/4 Rx antenna </w:t>
            </w:r>
            <w:r>
              <w:rPr>
                <w:rFonts w:ascii="Times New Roman" w:hAnsi="Times New Roman"/>
                <w:b w:val="0"/>
                <w:bCs/>
                <w:lang w:eastAsia="ja-JP"/>
              </w:rPr>
              <w:t>ports</w:t>
            </w:r>
          </w:p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eastAsia="ja-JP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Panel model 1: Mg = 1, Ng = 1, P = 2, dH = 0.5</w:t>
            </w:r>
          </w:p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eastAsia="ja-JP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(M, N, P, Mg, Ng; Mp, Np) = (1, 2, 2, 1, 1; 1, 2) for 4 Rx;</w:t>
            </w:r>
          </w:p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val="en-GB" w:eastAsia="zh-CN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(M, N, P, Mg, Ng; Mp, Np) = (1, 1, 2, 1, 1; 1, 1) for 2 Tx;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eastAsia="zh-CN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UE receiver noise figure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spacing w:before="0" w:after="0" w:line="240" w:lineRule="auto"/>
              <w:jc w:val="center"/>
              <w:rPr>
                <w:rFonts w:ascii="New York" w:hAnsi="New York"/>
                <w:bCs/>
                <w:sz w:val="18"/>
                <w:lang w:val="en-GB" w:eastAsia="zh-CN"/>
              </w:rPr>
            </w:pPr>
            <w:r>
              <w:rPr>
                <w:rFonts w:ascii="New York" w:hAnsi="New York"/>
                <w:bCs/>
                <w:sz w:val="18"/>
                <w:lang w:eastAsia="ja-JP"/>
              </w:rPr>
              <w:t>9 dB for 4GHz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eastAsia="ja-JP"/>
              </w:rPr>
            </w:pPr>
            <w:r>
              <w:rPr>
                <w:rFonts w:ascii="Times New Roman" w:hAnsi="Times New Roman"/>
                <w:b w:val="0"/>
                <w:bCs/>
                <w:lang w:val="de-DE" w:eastAsia="ja-JP"/>
              </w:rPr>
              <w:t>UE power control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spacing w:before="0" w:after="0" w:line="240" w:lineRule="auto"/>
              <w:jc w:val="center"/>
              <w:rPr>
                <w:rFonts w:ascii="New York" w:hAnsi="New York"/>
                <w:bCs/>
                <w:sz w:val="18"/>
                <w:lang w:val="en-GB" w:eastAsia="zh-CN"/>
              </w:rPr>
            </w:pPr>
            <w:r>
              <w:rPr>
                <w:rFonts w:ascii="New York" w:hAnsi="New York"/>
                <w:bCs/>
                <w:sz w:val="18"/>
                <w:lang w:eastAsia="zh-CN"/>
              </w:rPr>
              <w:t>P0 = -</w:t>
            </w:r>
            <w:r>
              <w:rPr>
                <w:rFonts w:ascii="New York" w:hAnsi="New York" w:hint="eastAsia"/>
                <w:bCs/>
                <w:sz w:val="18"/>
                <w:lang w:eastAsia="zh-CN"/>
              </w:rPr>
              <w:t>8</w:t>
            </w:r>
            <w:r>
              <w:rPr>
                <w:rFonts w:ascii="New York" w:hAnsi="New York"/>
                <w:bCs/>
                <w:sz w:val="18"/>
                <w:lang w:eastAsia="zh-CN"/>
              </w:rPr>
              <w:t>0, alpha =0.8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spacing w:before="0" w:line="240" w:lineRule="auto"/>
              <w:rPr>
                <w:rFonts w:ascii="Times New Roman" w:hAnsi="Times New Roman"/>
                <w:b w:val="0"/>
                <w:bCs/>
                <w:lang w:val="de-DE" w:eastAsia="ja-JP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Minimum BS-UE (2D) distance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spacing w:before="0" w:after="0" w:line="240" w:lineRule="auto"/>
              <w:jc w:val="center"/>
              <w:rPr>
                <w:rFonts w:ascii="New York" w:hAnsi="New York"/>
                <w:bCs/>
                <w:sz w:val="18"/>
                <w:lang w:val="en-GB" w:eastAsia="zh-CN"/>
              </w:rPr>
            </w:pPr>
            <w:r>
              <w:rPr>
                <w:rFonts w:ascii="New York" w:hAnsi="New York"/>
                <w:bCs/>
                <w:sz w:val="18"/>
                <w:lang w:eastAsia="ja-JP"/>
              </w:rPr>
              <w:t>Macro-to-UE: 35m [TR36.897]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rPr>
                <w:rFonts w:ascii="Times New Roman" w:hAnsi="Times New Roman"/>
                <w:b w:val="0"/>
                <w:bCs/>
                <w:lang w:eastAsia="ja-JP"/>
              </w:rPr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Minimum UE-UE (2D) distance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pStyle w:val="TAL"/>
              <w:spacing w:before="0" w:line="240" w:lineRule="auto"/>
              <w:jc w:val="center"/>
              <w:rPr>
                <w:rFonts w:ascii="Times New Roman" w:hAnsi="Times New Roman"/>
                <w:bCs/>
                <w:lang w:eastAsia="ja-JP"/>
              </w:rPr>
            </w:pPr>
            <w:r>
              <w:rPr>
                <w:rFonts w:ascii="Times New Roman" w:hAnsi="Times New Roman"/>
                <w:bCs/>
                <w:lang w:eastAsia="ja-JP"/>
              </w:rPr>
              <w:t>3m (TR36.843)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bCs/>
                <w:lang w:eastAsia="zh-CN"/>
              </w:rPr>
              <w:t>ACIR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pStyle w:val="TAL"/>
              <w:spacing w:before="0" w:line="240" w:lineRule="auto"/>
              <w:jc w:val="center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bCs/>
                <w:lang w:eastAsia="ja-JP"/>
              </w:rPr>
              <w:t>BS-BS</w:t>
            </w:r>
            <w:r>
              <w:rPr>
                <w:rFonts w:ascii="Times New Roman" w:hAnsi="Times New Roman" w:hint="eastAsia"/>
                <w:bCs/>
                <w:lang w:eastAsia="zh-CN"/>
              </w:rPr>
              <w:t xml:space="preserve">: </w:t>
            </w:r>
            <w:r>
              <w:rPr>
                <w:rFonts w:ascii="Times New Roman" w:hAnsi="Times New Roman"/>
                <w:bCs/>
                <w:lang w:eastAsia="ja-JP"/>
              </w:rPr>
              <w:t>43 dB</w:t>
            </w:r>
          </w:p>
          <w:p w:rsidR="00F976BE" w:rsidRDefault="00BF1EB3">
            <w:pPr>
              <w:pStyle w:val="TAL"/>
              <w:spacing w:before="0" w:line="240" w:lineRule="auto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 w:hint="eastAsia"/>
                <w:bCs/>
                <w:lang w:eastAsia="zh-CN"/>
              </w:rPr>
              <w:t xml:space="preserve">UE-UE: </w:t>
            </w:r>
            <w:r>
              <w:rPr>
                <w:rFonts w:ascii="Times New Roman" w:hAnsi="Times New Roman"/>
                <w:bCs/>
                <w:lang w:eastAsia="ja-JP"/>
              </w:rPr>
              <w:t>28 dB</w:t>
            </w:r>
          </w:p>
        </w:tc>
      </w:tr>
      <w:tr w:rsidR="00F976BE">
        <w:tc>
          <w:tcPr>
            <w:tcW w:w="2462" w:type="dxa"/>
            <w:vAlign w:val="center"/>
          </w:tcPr>
          <w:p w:rsidR="00F976BE" w:rsidRDefault="00BF1EB3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bCs/>
                <w:lang w:eastAsia="zh-CN"/>
              </w:rPr>
              <w:t xml:space="preserve">self-interference cancellation </w:t>
            </w:r>
          </w:p>
        </w:tc>
        <w:tc>
          <w:tcPr>
            <w:tcW w:w="7392" w:type="dxa"/>
            <w:vAlign w:val="center"/>
          </w:tcPr>
          <w:p w:rsidR="00F976BE" w:rsidRDefault="00BF1EB3">
            <w:pPr>
              <w:pStyle w:val="TAL"/>
              <w:spacing w:before="0" w:line="240" w:lineRule="auto"/>
              <w:jc w:val="center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 w:hint="eastAsia"/>
                <w:bCs/>
                <w:lang w:eastAsia="zh-CN"/>
              </w:rPr>
              <w:t>130 dB</w:t>
            </w:r>
          </w:p>
        </w:tc>
      </w:tr>
    </w:tbl>
    <w:p w:rsidR="00F976BE" w:rsidRDefault="00F976BE">
      <w:pPr>
        <w:rPr>
          <w:lang w:val="en-GB" w:eastAsia="zh-CN"/>
        </w:rPr>
      </w:pPr>
    </w:p>
    <w:p w:rsidR="00F976BE" w:rsidRDefault="00BF1EB3">
      <w:pPr>
        <w:pStyle w:val="2"/>
        <w:rPr>
          <w:lang w:eastAsia="zh-CN"/>
        </w:rPr>
      </w:pPr>
      <w:r>
        <w:rPr>
          <w:lang w:eastAsia="zh-CN"/>
        </w:rPr>
        <w:t>Preliminary geometry</w:t>
      </w:r>
    </w:p>
    <w:p w:rsidR="00F976BE" w:rsidRDefault="00BF1EB3">
      <w:pPr>
        <w:rPr>
          <w:lang w:eastAsia="zh-CN"/>
        </w:rPr>
      </w:pPr>
      <w:r>
        <w:rPr>
          <w:rFonts w:hint="eastAsia"/>
          <w:lang w:eastAsia="zh-CN"/>
        </w:rPr>
        <w:t xml:space="preserve">The preliminary geometry SINR of Urban Macro can be found in the following figure. </w:t>
      </w:r>
    </w:p>
    <w:tbl>
      <w:tblPr>
        <w:tblStyle w:val="af4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F976BE">
        <w:tc>
          <w:tcPr>
            <w:tcW w:w="4785" w:type="dxa"/>
          </w:tcPr>
          <w:p w:rsidR="00F976BE" w:rsidRDefault="00BF1EB3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noProof/>
                <w:lang w:eastAsia="zh-CN"/>
              </w:rPr>
              <w:drawing>
                <wp:inline distT="0" distB="0" distL="114300" distR="114300">
                  <wp:extent cx="2896235" cy="2288540"/>
                  <wp:effectExtent l="0" t="0" r="18415" b="16510"/>
                  <wp:docPr id="1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235" cy="2288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F976BE" w:rsidRDefault="00BF1EB3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noProof/>
                <w:lang w:eastAsia="zh-CN"/>
              </w:rPr>
              <w:drawing>
                <wp:inline distT="0" distB="0" distL="114300" distR="114300">
                  <wp:extent cx="2900045" cy="2293620"/>
                  <wp:effectExtent l="0" t="0" r="14605" b="11430"/>
                  <wp:docPr id="1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0045" cy="229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76BE" w:rsidRDefault="00BF1EB3">
      <w:pPr>
        <w:jc w:val="center"/>
        <w:rPr>
          <w:lang w:eastAsia="zh-CN"/>
        </w:rPr>
      </w:pPr>
      <w:r>
        <w:rPr>
          <w:rFonts w:hint="eastAsia"/>
          <w:lang w:eastAsia="zh-CN"/>
        </w:rPr>
        <w:t>Figure.1 Geometry SINR comparison</w:t>
      </w:r>
      <w:r>
        <w:rPr>
          <w:lang w:eastAsia="zh-CN"/>
        </w:rPr>
        <w:t>.</w:t>
      </w:r>
    </w:p>
    <w:p w:rsidR="00F976BE" w:rsidRDefault="00F976BE">
      <w:pPr>
        <w:rPr>
          <w:lang w:eastAsia="zh-CN"/>
        </w:rPr>
      </w:pPr>
    </w:p>
    <w:p w:rsidR="00F976BE" w:rsidRDefault="00BF1EB3">
      <w:pPr>
        <w:rPr>
          <w:lang w:eastAsia="zh-CN"/>
        </w:rPr>
      </w:pPr>
      <w:r>
        <w:rPr>
          <w:lang w:eastAsia="zh-CN"/>
        </w:rPr>
        <w:t>The legend is summarized as following.</w:t>
      </w:r>
    </w:p>
    <w:p w:rsidR="00F976BE" w:rsidRDefault="00BF1EB3">
      <w:pPr>
        <w:numPr>
          <w:ilvl w:val="0"/>
          <w:numId w:val="15"/>
        </w:numPr>
        <w:rPr>
          <w:lang w:eastAsia="zh-CN"/>
        </w:rPr>
      </w:pPr>
      <w:r>
        <w:rPr>
          <w:rFonts w:hint="eastAsia"/>
          <w:b/>
          <w:lang w:eastAsia="zh-CN"/>
        </w:rPr>
        <w:t>Normal SINR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 xml:space="preserve">The legacy scenario, where only legacy interference is considered. The </w:t>
      </w:r>
      <w:r>
        <w:rPr>
          <w:rFonts w:ascii="New York" w:eastAsia="Yu Gothic" w:hAnsi="New York"/>
          <w:lang w:eastAsia="ja-JP"/>
        </w:rPr>
        <w:t xml:space="preserve">DL: UL </w:t>
      </w:r>
      <w:r>
        <w:rPr>
          <w:rFonts w:ascii="New York" w:eastAsia="Yu Gothic" w:hAnsi="New York"/>
          <w:lang w:eastAsia="ja-JP"/>
        </w:rPr>
        <w:t>ratio for the allocated slot is fixed and the same DL: UL ratio is used by all nodes in the network.</w:t>
      </w:r>
    </w:p>
    <w:p w:rsidR="00F976BE" w:rsidRDefault="00BF1EB3">
      <w:pPr>
        <w:numPr>
          <w:ilvl w:val="0"/>
          <w:numId w:val="15"/>
        </w:numPr>
        <w:rPr>
          <w:lang w:eastAsia="zh-CN"/>
        </w:rPr>
      </w:pPr>
      <w:r>
        <w:rPr>
          <w:rFonts w:ascii="New York" w:hAnsi="New York" w:hint="eastAsia"/>
          <w:b/>
          <w:lang w:eastAsia="zh-CN"/>
        </w:rPr>
        <w:lastRenderedPageBreak/>
        <w:t>SINR of Dynamic TDD</w:t>
      </w:r>
      <w:r>
        <w:rPr>
          <w:rFonts w:ascii="New York" w:hAnsi="New York" w:hint="eastAsia"/>
          <w:lang w:eastAsia="zh-CN"/>
        </w:rPr>
        <w:t xml:space="preserve">: </w:t>
      </w:r>
      <w:r>
        <w:rPr>
          <w:rFonts w:ascii="New York" w:hAnsi="New York"/>
          <w:lang w:eastAsia="zh-CN"/>
        </w:rPr>
        <w:t xml:space="preserve">Dynamic TDD case. In addition to the legacy interference, intra-subband interference is also considered. </w:t>
      </w:r>
      <w:r>
        <w:rPr>
          <w:rFonts w:ascii="New York" w:hAnsi="New York" w:hint="eastAsia"/>
          <w:lang w:eastAsia="zh-CN"/>
        </w:rPr>
        <w:t>I</w:t>
      </w:r>
      <w:r>
        <w:rPr>
          <w:rFonts w:ascii="New York" w:hAnsi="New York"/>
          <w:lang w:eastAsia="zh-CN"/>
        </w:rPr>
        <w:t>t</w:t>
      </w:r>
      <w:r>
        <w:rPr>
          <w:rFonts w:ascii="New York" w:hAnsi="New York" w:hint="eastAsia"/>
          <w:lang w:eastAsia="zh-CN"/>
        </w:rPr>
        <w:t xml:space="preserve"> is assumed that </w:t>
      </w:r>
      <w:r>
        <w:rPr>
          <w:rFonts w:ascii="New York" w:eastAsia="Yu Gothic" w:hAnsi="New York"/>
          <w:lang w:eastAsia="ja-JP"/>
        </w:rPr>
        <w:t>the direct</w:t>
      </w:r>
      <w:r>
        <w:rPr>
          <w:rFonts w:ascii="New York" w:eastAsia="Yu Gothic" w:hAnsi="New York"/>
          <w:lang w:eastAsia="ja-JP"/>
        </w:rPr>
        <w:t xml:space="preserve">ion of </w:t>
      </w:r>
      <w:r>
        <w:rPr>
          <w:rFonts w:ascii="New York" w:hAnsi="New York" w:hint="eastAsia"/>
          <w:lang w:eastAsia="zh-CN"/>
        </w:rPr>
        <w:t xml:space="preserve">neighbor gNB </w:t>
      </w:r>
      <w:r>
        <w:rPr>
          <w:rFonts w:ascii="New York" w:eastAsia="Yu Gothic" w:hAnsi="New York"/>
          <w:lang w:eastAsia="ja-JP"/>
        </w:rPr>
        <w:t>transmission</w:t>
      </w:r>
      <w:r>
        <w:rPr>
          <w:rFonts w:ascii="New York" w:hAnsi="New York" w:hint="eastAsia"/>
          <w:lang w:eastAsia="zh-CN"/>
        </w:rPr>
        <w:t xml:space="preserve"> can be changed dynamically between DL and UL</w:t>
      </w:r>
      <w:r>
        <w:rPr>
          <w:rFonts w:ascii="New York" w:hAnsi="New York"/>
          <w:lang w:eastAsia="zh-CN"/>
        </w:rPr>
        <w:t>. Network</w:t>
      </w:r>
      <w:r>
        <w:rPr>
          <w:rFonts w:ascii="New York" w:hAnsi="New York" w:hint="eastAsia"/>
          <w:lang w:eastAsia="zh-CN"/>
        </w:rPr>
        <w:t xml:space="preserve"> </w:t>
      </w:r>
      <w:r>
        <w:rPr>
          <w:rFonts w:ascii="New York" w:hAnsi="New York"/>
          <w:lang w:eastAsia="zh-CN"/>
        </w:rPr>
        <w:t xml:space="preserve">randomizes </w:t>
      </w:r>
      <w:r>
        <w:rPr>
          <w:rFonts w:ascii="New York" w:hAnsi="New York" w:hint="eastAsia"/>
          <w:lang w:eastAsia="zh-CN"/>
        </w:rPr>
        <w:t>the DL and UL pattern for neighbor gNB in the calibration.</w:t>
      </w:r>
    </w:p>
    <w:p w:rsidR="00F976BE" w:rsidRDefault="00BF1EB3">
      <w:pPr>
        <w:numPr>
          <w:ilvl w:val="0"/>
          <w:numId w:val="16"/>
        </w:numPr>
        <w:rPr>
          <w:lang w:eastAsia="zh-CN"/>
        </w:rPr>
      </w:pPr>
      <w:r>
        <w:rPr>
          <w:rFonts w:ascii="New York" w:hAnsi="New York" w:hint="eastAsia"/>
          <w:b/>
          <w:lang w:eastAsia="zh-CN"/>
        </w:rPr>
        <w:t>SINR of Subband Duplex</w:t>
      </w:r>
      <w:r>
        <w:rPr>
          <w:rFonts w:ascii="New York" w:hAnsi="New York" w:hint="eastAsia"/>
          <w:lang w:eastAsia="zh-CN"/>
        </w:rPr>
        <w:t xml:space="preserve">: </w:t>
      </w:r>
      <w:r>
        <w:rPr>
          <w:rFonts w:ascii="New York" w:hAnsi="New York"/>
          <w:lang w:eastAsia="zh-CN"/>
        </w:rPr>
        <w:t xml:space="preserve">Subband full duplex case. </w:t>
      </w:r>
      <w:r>
        <w:rPr>
          <w:rFonts w:ascii="New York" w:hAnsi="New York" w:hint="eastAsia"/>
          <w:lang w:eastAsia="zh-CN"/>
        </w:rPr>
        <w:t xml:space="preserve">In addition to </w:t>
      </w:r>
      <w:r>
        <w:rPr>
          <w:rFonts w:ascii="New York" w:hAnsi="New York"/>
          <w:lang w:eastAsia="zh-CN"/>
        </w:rPr>
        <w:t xml:space="preserve">the </w:t>
      </w:r>
      <w:r>
        <w:rPr>
          <w:rFonts w:ascii="New York" w:hAnsi="New York" w:hint="eastAsia"/>
          <w:lang w:eastAsia="zh-CN"/>
        </w:rPr>
        <w:t>legacy interference, inter-sub</w:t>
      </w:r>
      <w:r>
        <w:rPr>
          <w:rFonts w:ascii="New York" w:hAnsi="New York" w:hint="eastAsia"/>
          <w:lang w:eastAsia="zh-CN"/>
        </w:rPr>
        <w:t xml:space="preserve">band interference with ACIR and </w:t>
      </w:r>
      <w:r>
        <w:rPr>
          <w:rFonts w:hint="eastAsia"/>
          <w:bCs/>
          <w:lang w:eastAsia="zh-CN"/>
        </w:rPr>
        <w:t xml:space="preserve">self-interference cancellation </w:t>
      </w:r>
      <w:r>
        <w:rPr>
          <w:rFonts w:ascii="New York" w:hAnsi="New York"/>
          <w:lang w:eastAsia="zh-CN"/>
        </w:rPr>
        <w:t>also needs to</w:t>
      </w:r>
      <w:r>
        <w:rPr>
          <w:rFonts w:ascii="New York" w:hAnsi="New York" w:hint="eastAsia"/>
          <w:lang w:eastAsia="zh-CN"/>
        </w:rPr>
        <w:t xml:space="preserve"> be considered.</w:t>
      </w:r>
      <w:r>
        <w:rPr>
          <w:rFonts w:ascii="New York" w:hAnsi="New York"/>
          <w:lang w:eastAsia="zh-CN"/>
        </w:rPr>
        <w:t xml:space="preserve"> </w:t>
      </w:r>
      <w:r>
        <w:rPr>
          <w:rFonts w:ascii="New York" w:eastAsia="Yu Gothic" w:hAnsi="New York"/>
          <w:lang w:eastAsia="ja-JP"/>
        </w:rPr>
        <w:t>It</w:t>
      </w:r>
      <w:r>
        <w:rPr>
          <w:rFonts w:ascii="New York" w:hAnsi="New York" w:hint="eastAsia"/>
          <w:lang w:eastAsia="zh-CN"/>
        </w:rPr>
        <w:t xml:space="preserve"> is assumed that all gNBs have the same DL-UL frequency&amp;time domain pattern. </w:t>
      </w:r>
    </w:p>
    <w:p w:rsidR="00F976BE" w:rsidRDefault="00F976BE">
      <w:pPr>
        <w:rPr>
          <w:lang w:val="en-GB" w:eastAsia="zh-CN"/>
        </w:rPr>
      </w:pPr>
    </w:p>
    <w:p w:rsidR="00F976BE" w:rsidRDefault="00BF1EB3">
      <w:pPr>
        <w:rPr>
          <w:b/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O</w:t>
      </w:r>
      <w:r>
        <w:rPr>
          <w:b/>
          <w:i/>
          <w:lang w:val="en-GB" w:eastAsia="zh-CN"/>
        </w:rPr>
        <w:t>bservation 1:</w:t>
      </w:r>
      <w:r w:rsidRPr="001F4B91">
        <w:rPr>
          <w:i/>
          <w:lang w:val="en-GB" w:eastAsia="zh-CN"/>
        </w:rPr>
        <w:t xml:space="preserve"> </w:t>
      </w:r>
      <w:r w:rsidR="001F4B91" w:rsidRPr="001F4B91">
        <w:rPr>
          <w:i/>
          <w:lang w:val="en-GB" w:eastAsia="zh-CN"/>
        </w:rPr>
        <w:t>Regarding the geometry</w:t>
      </w:r>
    </w:p>
    <w:p w:rsidR="00F976BE" w:rsidRDefault="00BF1EB3">
      <w:pPr>
        <w:pStyle w:val="a"/>
        <w:numPr>
          <w:ilvl w:val="0"/>
          <w:numId w:val="17"/>
        </w:numPr>
        <w:rPr>
          <w:i/>
          <w:lang w:eastAsia="zh-CN"/>
        </w:rPr>
      </w:pPr>
      <w:r>
        <w:rPr>
          <w:i/>
          <w:lang w:eastAsia="zh-CN"/>
        </w:rPr>
        <w:t>For DL SINR, there is about 5dB gap between subband full duplex and</w:t>
      </w:r>
      <w:r>
        <w:rPr>
          <w:i/>
          <w:lang w:eastAsia="zh-CN"/>
        </w:rPr>
        <w:t xml:space="preserve"> legacy TDD and about 10dB gap between dynamic TDD and subband full duplex.</w:t>
      </w:r>
    </w:p>
    <w:p w:rsidR="00F976BE" w:rsidRDefault="00BF1EB3">
      <w:pPr>
        <w:pStyle w:val="a"/>
        <w:numPr>
          <w:ilvl w:val="0"/>
          <w:numId w:val="17"/>
        </w:numPr>
        <w:rPr>
          <w:i/>
          <w:lang w:eastAsia="zh-CN"/>
        </w:rPr>
      </w:pPr>
      <w:r>
        <w:rPr>
          <w:i/>
          <w:lang w:eastAsia="zh-CN"/>
        </w:rPr>
        <w:t>For UL SINR, there is about 15dB gap between subband full duplex and legacy TDD and about 5dB gap between dynamic TDD and subband full duplex.</w:t>
      </w:r>
    </w:p>
    <w:p w:rsidR="00F976BE" w:rsidRDefault="00F976BE">
      <w:pPr>
        <w:rPr>
          <w:lang w:val="en-GB" w:eastAsia="zh-CN"/>
        </w:rPr>
      </w:pPr>
    </w:p>
    <w:p w:rsidR="00F976BE" w:rsidRDefault="00BF1EB3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F976BE" w:rsidRDefault="00BF1EB3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we </w:t>
      </w:r>
      <w:r>
        <w:rPr>
          <w:lang w:val="en-GB" w:eastAsia="zh-CN"/>
        </w:rPr>
        <w:t>provide some preliminary geometry results for subband full duplex. Note that this is just the preliminary geometry results that haven’t been calibrated yet.</w:t>
      </w:r>
    </w:p>
    <w:p w:rsidR="001F4B91" w:rsidRPr="001F4B91" w:rsidRDefault="001F4B91" w:rsidP="001F4B91">
      <w:pPr>
        <w:rPr>
          <w:b/>
          <w:i/>
          <w:lang w:eastAsia="zh-CN"/>
        </w:rPr>
      </w:pPr>
      <w:r w:rsidRPr="001F4B91">
        <w:rPr>
          <w:rFonts w:hint="eastAsia"/>
          <w:b/>
          <w:i/>
          <w:lang w:eastAsia="zh-CN"/>
        </w:rPr>
        <w:t>O</w:t>
      </w:r>
      <w:r w:rsidRPr="001F4B91">
        <w:rPr>
          <w:b/>
          <w:i/>
          <w:lang w:eastAsia="zh-CN"/>
        </w:rPr>
        <w:t>bservation 1:</w:t>
      </w:r>
      <w:r w:rsidRPr="001F4B91">
        <w:rPr>
          <w:i/>
          <w:lang w:eastAsia="zh-CN"/>
        </w:rPr>
        <w:t xml:space="preserve"> Regarding the geometry</w:t>
      </w:r>
      <w:bookmarkStart w:id="5" w:name="_GoBack"/>
      <w:bookmarkEnd w:id="5"/>
    </w:p>
    <w:p w:rsidR="00F976BE" w:rsidRDefault="00BF1EB3">
      <w:pPr>
        <w:pStyle w:val="a"/>
        <w:numPr>
          <w:ilvl w:val="0"/>
          <w:numId w:val="17"/>
        </w:numPr>
        <w:rPr>
          <w:i/>
          <w:lang w:eastAsia="zh-CN"/>
        </w:rPr>
      </w:pPr>
      <w:r>
        <w:rPr>
          <w:i/>
          <w:lang w:eastAsia="zh-CN"/>
        </w:rPr>
        <w:t>F</w:t>
      </w:r>
      <w:r>
        <w:rPr>
          <w:i/>
          <w:lang w:eastAsia="zh-CN"/>
        </w:rPr>
        <w:t xml:space="preserve">or DL SINR, there is about 5dB gap between subband full duplex and legacy TDD and </w:t>
      </w:r>
      <w:r>
        <w:rPr>
          <w:i/>
          <w:lang w:eastAsia="zh-CN"/>
        </w:rPr>
        <w:t>about 10dB gap between dynamic TDD and subband full duplex.</w:t>
      </w:r>
    </w:p>
    <w:p w:rsidR="00F976BE" w:rsidRDefault="00BF1EB3">
      <w:pPr>
        <w:pStyle w:val="a"/>
        <w:numPr>
          <w:ilvl w:val="0"/>
          <w:numId w:val="17"/>
        </w:numPr>
        <w:rPr>
          <w:i/>
          <w:lang w:eastAsia="zh-CN"/>
        </w:rPr>
      </w:pPr>
      <w:r>
        <w:rPr>
          <w:i/>
          <w:lang w:eastAsia="zh-CN"/>
        </w:rPr>
        <w:t>For UL SINR, there is about 15dB gap between subband full duplex and legacy TDD and about 5dB gap between dynamic TDD and subband full duplex.</w:t>
      </w:r>
    </w:p>
    <w:p w:rsidR="00F976BE" w:rsidRDefault="00F976BE">
      <w:pPr>
        <w:rPr>
          <w:i/>
          <w:lang w:val="en-GB" w:eastAsia="zh-CN"/>
        </w:rPr>
      </w:pPr>
    </w:p>
    <w:p w:rsidR="00F976BE" w:rsidRDefault="00BF1EB3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F976BE" w:rsidRDefault="00BF1EB3">
      <w:pPr>
        <w:pStyle w:val="a"/>
        <w:numPr>
          <w:ilvl w:val="0"/>
          <w:numId w:val="18"/>
        </w:numPr>
        <w:rPr>
          <w:lang w:val="de-DE" w:eastAsia="zh-CN"/>
        </w:rPr>
      </w:pPr>
      <w:r>
        <w:rPr>
          <w:lang w:val="de-DE" w:eastAsia="zh-CN"/>
        </w:rPr>
        <w:t>RP-213591</w:t>
      </w:r>
      <w:r>
        <w:rPr>
          <w:rFonts w:hint="eastAsia"/>
          <w:lang w:val="en-US" w:eastAsia="zh-CN"/>
        </w:rPr>
        <w:t xml:space="preserve">, </w:t>
      </w:r>
      <w:bookmarkStart w:id="6" w:name="_Hlk89552034"/>
      <w:r>
        <w:rPr>
          <w:lang w:val="en-US" w:eastAsia="zh-CN"/>
        </w:rPr>
        <w:t>“</w:t>
      </w:r>
      <w:r>
        <w:rPr>
          <w:lang w:val="de-DE" w:eastAsia="zh-CN"/>
        </w:rPr>
        <w:t xml:space="preserve">New SI: Study on evolution of </w:t>
      </w:r>
      <w:r>
        <w:rPr>
          <w:lang w:val="de-DE" w:eastAsia="zh-CN"/>
        </w:rPr>
        <w:t>NR duplex operation</w:t>
      </w:r>
      <w:bookmarkEnd w:id="6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CMCC</w:t>
      </w:r>
      <w:r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zh-CN"/>
        </w:rPr>
        <w:t>(Moderator)</w:t>
      </w:r>
    </w:p>
    <w:p w:rsidR="00F976BE" w:rsidRDefault="00BF1EB3">
      <w:pPr>
        <w:pStyle w:val="a"/>
        <w:numPr>
          <w:ilvl w:val="0"/>
          <w:numId w:val="18"/>
        </w:numPr>
        <w:rPr>
          <w:lang w:val="de-DE" w:eastAsia="zh-CN"/>
        </w:rPr>
      </w:pPr>
      <w:r>
        <w:rPr>
          <w:rFonts w:hint="eastAsia"/>
          <w:lang w:val="en-US" w:eastAsia="zh-CN"/>
        </w:rPr>
        <w:t xml:space="preserve">R1-2203203, </w:t>
      </w:r>
      <w:r>
        <w:rPr>
          <w:lang w:val="en-US" w:eastAsia="zh-CN"/>
        </w:rPr>
        <w:t>“</w:t>
      </w:r>
      <w:r>
        <w:rPr>
          <w:lang w:val="de-DE" w:eastAsia="zh-CN"/>
        </w:rPr>
        <w:t>Discussion of evaluation on NR duplex evolution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ZTE</w:t>
      </w:r>
    </w:p>
    <w:sectPr w:rsidR="00F976BE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EB3" w:rsidRDefault="00BF1EB3">
      <w:pPr>
        <w:spacing w:after="0"/>
      </w:pPr>
      <w:r>
        <w:separator/>
      </w:r>
    </w:p>
  </w:endnote>
  <w:endnote w:type="continuationSeparator" w:id="0">
    <w:p w:rsidR="00BF1EB3" w:rsidRDefault="00BF1E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6BE" w:rsidRDefault="00BF1EB3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F976BE" w:rsidRDefault="00F976B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6BE" w:rsidRDefault="00BF1EB3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1F4B91">
      <w:rPr>
        <w:rStyle w:val="af6"/>
        <w:noProof/>
      </w:rPr>
      <w:t>3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1F4B91">
      <w:rPr>
        <w:rStyle w:val="af6"/>
        <w:noProof/>
      </w:rPr>
      <w:t>3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EB3" w:rsidRDefault="00BF1EB3">
      <w:pPr>
        <w:spacing w:after="0"/>
      </w:pPr>
      <w:r>
        <w:separator/>
      </w:r>
    </w:p>
  </w:footnote>
  <w:footnote w:type="continuationSeparator" w:id="0">
    <w:p w:rsidR="00BF1EB3" w:rsidRDefault="00BF1E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6BE" w:rsidRDefault="00BF1EB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66A4AEB"/>
    <w:multiLevelType w:val="multilevel"/>
    <w:tmpl w:val="066A4AEB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upperLetter"/>
      <w:lvlText w:val="%2."/>
      <w:lvlJc w:val="left"/>
      <w:pPr>
        <w:ind w:left="1880" w:hanging="400"/>
      </w:pPr>
    </w:lvl>
    <w:lvl w:ilvl="2">
      <w:start w:val="1"/>
      <w:numFmt w:val="lowerRoman"/>
      <w:lvlText w:val="%3."/>
      <w:lvlJc w:val="right"/>
      <w:pPr>
        <w:ind w:left="2280" w:hanging="400"/>
      </w:pPr>
    </w:lvl>
    <w:lvl w:ilvl="3">
      <w:start w:val="1"/>
      <w:numFmt w:val="decimal"/>
      <w:lvlText w:val="%4."/>
      <w:lvlJc w:val="left"/>
      <w:pPr>
        <w:ind w:left="2680" w:hanging="400"/>
      </w:pPr>
    </w:lvl>
    <w:lvl w:ilvl="4">
      <w:start w:val="1"/>
      <w:numFmt w:val="upperLetter"/>
      <w:lvlText w:val="%5."/>
      <w:lvlJc w:val="left"/>
      <w:pPr>
        <w:ind w:left="3080" w:hanging="400"/>
      </w:pPr>
    </w:lvl>
    <w:lvl w:ilvl="5">
      <w:start w:val="1"/>
      <w:numFmt w:val="lowerRoman"/>
      <w:lvlText w:val="%6."/>
      <w:lvlJc w:val="right"/>
      <w:pPr>
        <w:ind w:left="3480" w:hanging="400"/>
      </w:pPr>
    </w:lvl>
    <w:lvl w:ilvl="6">
      <w:start w:val="1"/>
      <w:numFmt w:val="decimal"/>
      <w:lvlText w:val="%7."/>
      <w:lvlJc w:val="left"/>
      <w:pPr>
        <w:ind w:left="3880" w:hanging="400"/>
      </w:pPr>
    </w:lvl>
    <w:lvl w:ilvl="7">
      <w:start w:val="1"/>
      <w:numFmt w:val="upperLetter"/>
      <w:lvlText w:val="%8."/>
      <w:lvlJc w:val="left"/>
      <w:pPr>
        <w:ind w:left="4280" w:hanging="400"/>
      </w:pPr>
    </w:lvl>
    <w:lvl w:ilvl="8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4E6604"/>
    <w:multiLevelType w:val="multilevel"/>
    <w:tmpl w:val="1D4E6604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 w15:restartNumberingAfterBreak="0">
    <w:nsid w:val="1E4620EE"/>
    <w:multiLevelType w:val="multilevel"/>
    <w:tmpl w:val="1E4620EE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6" w15:restartNumberingAfterBreak="0">
    <w:nsid w:val="29DD3BB5"/>
    <w:multiLevelType w:val="multilevel"/>
    <w:tmpl w:val="29DD3BB5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F443231"/>
    <w:multiLevelType w:val="multilevel"/>
    <w:tmpl w:val="4F443231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75B03"/>
    <w:multiLevelType w:val="multilevel"/>
    <w:tmpl w:val="71A75B03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6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9"/>
  </w:num>
  <w:num w:numId="5">
    <w:abstractNumId w:val="17"/>
  </w:num>
  <w:num w:numId="6">
    <w:abstractNumId w:val="12"/>
  </w:num>
  <w:num w:numId="7">
    <w:abstractNumId w:val="8"/>
  </w:num>
  <w:num w:numId="8">
    <w:abstractNumId w:val="16"/>
  </w:num>
  <w:num w:numId="9">
    <w:abstractNumId w:val="14"/>
  </w:num>
  <w:num w:numId="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"/>
  </w:num>
  <w:num w:numId="12">
    <w:abstractNumId w:val="6"/>
  </w:num>
  <w:num w:numId="13">
    <w:abstractNumId w:val="4"/>
  </w:num>
  <w:num w:numId="14">
    <w:abstractNumId w:val="11"/>
  </w:num>
  <w:num w:numId="15">
    <w:abstractNumId w:val="5"/>
  </w:num>
  <w:num w:numId="16">
    <w:abstractNumId w:val="10"/>
  </w:num>
  <w:num w:numId="17">
    <w:abstractNumId w:val="1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73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37B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2FE0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DEB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8C9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0D57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80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AB9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A7D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7D6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B7F4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9FC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23B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B91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A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4A0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7B4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41A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897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135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610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5E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F07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A5C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A3E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4F4"/>
    <w:rsid w:val="00380543"/>
    <w:rsid w:val="00380602"/>
    <w:rsid w:val="00380892"/>
    <w:rsid w:val="00380BBD"/>
    <w:rsid w:val="00380FF5"/>
    <w:rsid w:val="0038158E"/>
    <w:rsid w:val="00382182"/>
    <w:rsid w:val="003821E7"/>
    <w:rsid w:val="003825FE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052"/>
    <w:rsid w:val="003933FD"/>
    <w:rsid w:val="00393595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3A0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0F1"/>
    <w:rsid w:val="003D63BA"/>
    <w:rsid w:val="003D680E"/>
    <w:rsid w:val="003D69ED"/>
    <w:rsid w:val="003D6AFD"/>
    <w:rsid w:val="003D6B43"/>
    <w:rsid w:val="003D740C"/>
    <w:rsid w:val="003D781B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2E75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273"/>
    <w:rsid w:val="003F4501"/>
    <w:rsid w:val="003F4933"/>
    <w:rsid w:val="003F4977"/>
    <w:rsid w:val="003F4A21"/>
    <w:rsid w:val="003F4CBE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8C0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3B3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7F6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9E6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508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21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01"/>
    <w:rsid w:val="004D1F7A"/>
    <w:rsid w:val="004D1FC3"/>
    <w:rsid w:val="004D2474"/>
    <w:rsid w:val="004D27C4"/>
    <w:rsid w:val="004D2B85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2DE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3D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4A2"/>
    <w:rsid w:val="00577540"/>
    <w:rsid w:val="005777AC"/>
    <w:rsid w:val="005777BE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562"/>
    <w:rsid w:val="005829CC"/>
    <w:rsid w:val="00582AB1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42A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587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AD6"/>
    <w:rsid w:val="005C0B24"/>
    <w:rsid w:val="005C0D61"/>
    <w:rsid w:val="005C0DDE"/>
    <w:rsid w:val="005C1225"/>
    <w:rsid w:val="005C132F"/>
    <w:rsid w:val="005C1752"/>
    <w:rsid w:val="005C1A89"/>
    <w:rsid w:val="005C1BF2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096"/>
    <w:rsid w:val="005D17BF"/>
    <w:rsid w:val="005D17F9"/>
    <w:rsid w:val="005D18B1"/>
    <w:rsid w:val="005D1A65"/>
    <w:rsid w:val="005D1ABB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0F43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B2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B6C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2BE3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68A"/>
    <w:rsid w:val="006F3B01"/>
    <w:rsid w:val="006F3C66"/>
    <w:rsid w:val="006F4189"/>
    <w:rsid w:val="006F468E"/>
    <w:rsid w:val="006F4BF2"/>
    <w:rsid w:val="006F4C73"/>
    <w:rsid w:val="006F4F9C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31F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17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42D"/>
    <w:rsid w:val="007279F1"/>
    <w:rsid w:val="00727E3C"/>
    <w:rsid w:val="00727E9F"/>
    <w:rsid w:val="00730115"/>
    <w:rsid w:val="0073015F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5EC3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3F9A"/>
    <w:rsid w:val="0075412E"/>
    <w:rsid w:val="007545E6"/>
    <w:rsid w:val="00754747"/>
    <w:rsid w:val="00754D64"/>
    <w:rsid w:val="00754FCC"/>
    <w:rsid w:val="00755189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9F3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54F"/>
    <w:rsid w:val="00784702"/>
    <w:rsid w:val="00784C31"/>
    <w:rsid w:val="00784EA1"/>
    <w:rsid w:val="00784ECF"/>
    <w:rsid w:val="00784FC7"/>
    <w:rsid w:val="0078504B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5DF9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5F2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3A0"/>
    <w:rsid w:val="007C64BC"/>
    <w:rsid w:val="007C67A1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C9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1FC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315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97B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D8C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7E6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5A9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A30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5CCB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75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BE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5E8B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77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0704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29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9DC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6E42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B26"/>
    <w:rsid w:val="00A02B8C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F0B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C17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0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11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A45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7E4"/>
    <w:rsid w:val="00AF091F"/>
    <w:rsid w:val="00AF0FFE"/>
    <w:rsid w:val="00AF1414"/>
    <w:rsid w:val="00AF14DF"/>
    <w:rsid w:val="00AF15C3"/>
    <w:rsid w:val="00AF19CD"/>
    <w:rsid w:val="00AF25F3"/>
    <w:rsid w:val="00AF2758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1D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0B28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6AD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6DF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67D86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BF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123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4E6E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E9D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F6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0DD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C9F"/>
    <w:rsid w:val="00BB7DB1"/>
    <w:rsid w:val="00BC0AE6"/>
    <w:rsid w:val="00BC1293"/>
    <w:rsid w:val="00BC16BF"/>
    <w:rsid w:val="00BC1B4B"/>
    <w:rsid w:val="00BC201A"/>
    <w:rsid w:val="00BC2956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6A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123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B1F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1EB3"/>
    <w:rsid w:val="00BF220D"/>
    <w:rsid w:val="00BF23E5"/>
    <w:rsid w:val="00BF2817"/>
    <w:rsid w:val="00BF2C65"/>
    <w:rsid w:val="00BF31CB"/>
    <w:rsid w:val="00BF3485"/>
    <w:rsid w:val="00BF3AE6"/>
    <w:rsid w:val="00BF3C10"/>
    <w:rsid w:val="00BF3C61"/>
    <w:rsid w:val="00BF4162"/>
    <w:rsid w:val="00BF46F1"/>
    <w:rsid w:val="00BF4923"/>
    <w:rsid w:val="00BF4A85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174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1C87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2C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2C3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296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0F26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B7E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E81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9D"/>
    <w:rsid w:val="00D309B2"/>
    <w:rsid w:val="00D309D3"/>
    <w:rsid w:val="00D30C46"/>
    <w:rsid w:val="00D30FC7"/>
    <w:rsid w:val="00D317CA"/>
    <w:rsid w:val="00D31B9F"/>
    <w:rsid w:val="00D31BEA"/>
    <w:rsid w:val="00D31CEF"/>
    <w:rsid w:val="00D328AE"/>
    <w:rsid w:val="00D33313"/>
    <w:rsid w:val="00D3332A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96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31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7F4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2D"/>
    <w:rsid w:val="00DB126F"/>
    <w:rsid w:val="00DB1539"/>
    <w:rsid w:val="00DB1D6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6AE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3FE4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B7B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0AD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B6F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988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47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00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AD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B67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4C8"/>
    <w:rsid w:val="00F975B5"/>
    <w:rsid w:val="00F97666"/>
    <w:rsid w:val="00F976BE"/>
    <w:rsid w:val="00F97F06"/>
    <w:rsid w:val="00FA0509"/>
    <w:rsid w:val="00FA088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204BE7"/>
    <w:rsid w:val="03532C3F"/>
    <w:rsid w:val="03B25C4C"/>
    <w:rsid w:val="03F94E83"/>
    <w:rsid w:val="03FC4856"/>
    <w:rsid w:val="046942AE"/>
    <w:rsid w:val="054A3BE8"/>
    <w:rsid w:val="056B6146"/>
    <w:rsid w:val="05EF4C70"/>
    <w:rsid w:val="067D4C1C"/>
    <w:rsid w:val="06B127E5"/>
    <w:rsid w:val="072F2729"/>
    <w:rsid w:val="07BC14FA"/>
    <w:rsid w:val="07C21FA9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DC4535B"/>
    <w:rsid w:val="0E120AD5"/>
    <w:rsid w:val="0EB06FFE"/>
    <w:rsid w:val="10150A41"/>
    <w:rsid w:val="1257267A"/>
    <w:rsid w:val="12A472D8"/>
    <w:rsid w:val="12FE321B"/>
    <w:rsid w:val="130859B8"/>
    <w:rsid w:val="13B5695B"/>
    <w:rsid w:val="141F2191"/>
    <w:rsid w:val="1575AEB2"/>
    <w:rsid w:val="15F1710F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5429"/>
    <w:rsid w:val="1B2E6DC7"/>
    <w:rsid w:val="1B5316CE"/>
    <w:rsid w:val="1B5E59D2"/>
    <w:rsid w:val="1BCC30CA"/>
    <w:rsid w:val="1C040825"/>
    <w:rsid w:val="1C766428"/>
    <w:rsid w:val="1DD50930"/>
    <w:rsid w:val="1DF407BB"/>
    <w:rsid w:val="1E38003B"/>
    <w:rsid w:val="1F850095"/>
    <w:rsid w:val="1FA02687"/>
    <w:rsid w:val="1FB91CD0"/>
    <w:rsid w:val="20875D9A"/>
    <w:rsid w:val="20910CB1"/>
    <w:rsid w:val="20CD42FE"/>
    <w:rsid w:val="20D355E0"/>
    <w:rsid w:val="21035A99"/>
    <w:rsid w:val="21282288"/>
    <w:rsid w:val="23680C07"/>
    <w:rsid w:val="239E142D"/>
    <w:rsid w:val="245870DE"/>
    <w:rsid w:val="247247A7"/>
    <w:rsid w:val="2473146A"/>
    <w:rsid w:val="252B5C82"/>
    <w:rsid w:val="25D36249"/>
    <w:rsid w:val="277717BA"/>
    <w:rsid w:val="27C5366D"/>
    <w:rsid w:val="27DD67CA"/>
    <w:rsid w:val="28256A26"/>
    <w:rsid w:val="28690808"/>
    <w:rsid w:val="28B07E55"/>
    <w:rsid w:val="28B54AA2"/>
    <w:rsid w:val="294D6347"/>
    <w:rsid w:val="2A0F0B23"/>
    <w:rsid w:val="2AFE2B7E"/>
    <w:rsid w:val="2CC038FC"/>
    <w:rsid w:val="2D376513"/>
    <w:rsid w:val="2DC863F1"/>
    <w:rsid w:val="2EB72406"/>
    <w:rsid w:val="2F2367DE"/>
    <w:rsid w:val="30DB0CBF"/>
    <w:rsid w:val="31542D3B"/>
    <w:rsid w:val="31A276D9"/>
    <w:rsid w:val="32832752"/>
    <w:rsid w:val="32FE23BF"/>
    <w:rsid w:val="330E6893"/>
    <w:rsid w:val="33DE0CB9"/>
    <w:rsid w:val="34457AEF"/>
    <w:rsid w:val="3511129D"/>
    <w:rsid w:val="3526273F"/>
    <w:rsid w:val="359455FE"/>
    <w:rsid w:val="36CD07B0"/>
    <w:rsid w:val="375C57D7"/>
    <w:rsid w:val="37DD651E"/>
    <w:rsid w:val="38817658"/>
    <w:rsid w:val="38AF7030"/>
    <w:rsid w:val="38BA113F"/>
    <w:rsid w:val="3A135075"/>
    <w:rsid w:val="3A8424B5"/>
    <w:rsid w:val="3AB31D0C"/>
    <w:rsid w:val="3AE203A5"/>
    <w:rsid w:val="3B4A3B53"/>
    <w:rsid w:val="3BF47021"/>
    <w:rsid w:val="3C3E02B3"/>
    <w:rsid w:val="3C923082"/>
    <w:rsid w:val="3D0354C7"/>
    <w:rsid w:val="3D7642C9"/>
    <w:rsid w:val="3DDA6D42"/>
    <w:rsid w:val="3DDA728F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2D56493"/>
    <w:rsid w:val="44007DA8"/>
    <w:rsid w:val="441C2E6C"/>
    <w:rsid w:val="44917C93"/>
    <w:rsid w:val="46D41E44"/>
    <w:rsid w:val="47AE2F53"/>
    <w:rsid w:val="47D53824"/>
    <w:rsid w:val="47EA3FF2"/>
    <w:rsid w:val="49042927"/>
    <w:rsid w:val="49446ABC"/>
    <w:rsid w:val="496938E0"/>
    <w:rsid w:val="49882B35"/>
    <w:rsid w:val="49DF2DF1"/>
    <w:rsid w:val="4A2A1BF5"/>
    <w:rsid w:val="4AFE0B5F"/>
    <w:rsid w:val="4B3872E6"/>
    <w:rsid w:val="4C822591"/>
    <w:rsid w:val="4CA149AE"/>
    <w:rsid w:val="4DF51404"/>
    <w:rsid w:val="4E5633F4"/>
    <w:rsid w:val="4E7740D9"/>
    <w:rsid w:val="4EAC0AFF"/>
    <w:rsid w:val="4EC2021D"/>
    <w:rsid w:val="50AC6E3A"/>
    <w:rsid w:val="50FD13B2"/>
    <w:rsid w:val="52564EF1"/>
    <w:rsid w:val="528A30D7"/>
    <w:rsid w:val="52FE30BB"/>
    <w:rsid w:val="536E79E7"/>
    <w:rsid w:val="549D0EA0"/>
    <w:rsid w:val="54CE2507"/>
    <w:rsid w:val="55181CD2"/>
    <w:rsid w:val="55D01D97"/>
    <w:rsid w:val="568F21E8"/>
    <w:rsid w:val="56B85124"/>
    <w:rsid w:val="57244B18"/>
    <w:rsid w:val="57AE3DD2"/>
    <w:rsid w:val="57EF6871"/>
    <w:rsid w:val="58240039"/>
    <w:rsid w:val="593025E2"/>
    <w:rsid w:val="595A121E"/>
    <w:rsid w:val="59C75644"/>
    <w:rsid w:val="5AF07FF7"/>
    <w:rsid w:val="5AF422E5"/>
    <w:rsid w:val="5BF26431"/>
    <w:rsid w:val="5D293A5F"/>
    <w:rsid w:val="5E780DEA"/>
    <w:rsid w:val="5F631FA8"/>
    <w:rsid w:val="5F8E74A8"/>
    <w:rsid w:val="60B36FDD"/>
    <w:rsid w:val="62772955"/>
    <w:rsid w:val="65507243"/>
    <w:rsid w:val="65576B9C"/>
    <w:rsid w:val="656027FF"/>
    <w:rsid w:val="66457E51"/>
    <w:rsid w:val="6680376E"/>
    <w:rsid w:val="66ED31EA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D020EA1"/>
    <w:rsid w:val="6E0F1211"/>
    <w:rsid w:val="6ED5379A"/>
    <w:rsid w:val="6FBD0858"/>
    <w:rsid w:val="7102473E"/>
    <w:rsid w:val="72E1752D"/>
    <w:rsid w:val="73A00F2D"/>
    <w:rsid w:val="73A015C2"/>
    <w:rsid w:val="73A913CF"/>
    <w:rsid w:val="73EB1497"/>
    <w:rsid w:val="74000A47"/>
    <w:rsid w:val="740C2878"/>
    <w:rsid w:val="74885606"/>
    <w:rsid w:val="751115BE"/>
    <w:rsid w:val="756D13BC"/>
    <w:rsid w:val="75740E00"/>
    <w:rsid w:val="763A080C"/>
    <w:rsid w:val="76700F03"/>
    <w:rsid w:val="76EB5B39"/>
    <w:rsid w:val="776F4F23"/>
    <w:rsid w:val="78156E78"/>
    <w:rsid w:val="782D5EAF"/>
    <w:rsid w:val="785E1CD6"/>
    <w:rsid w:val="786302A1"/>
    <w:rsid w:val="789F1175"/>
    <w:rsid w:val="7931734A"/>
    <w:rsid w:val="79FD25F6"/>
    <w:rsid w:val="7A835347"/>
    <w:rsid w:val="7AC9279A"/>
    <w:rsid w:val="7ADB38D4"/>
    <w:rsid w:val="7B311322"/>
    <w:rsid w:val="7DD2691C"/>
    <w:rsid w:val="7DF745BB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024873E-481E-4C1A-A110-2799720E1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uiPriority w:val="22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maintext">
    <w:name w:val="main text"/>
    <w:basedOn w:val="a0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D67AF8DB-FCFA-41B8-992F-B28EEF9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811</Words>
  <Characters>4628</Characters>
  <Application>Microsoft Office Word</Application>
  <DocSecurity>0</DocSecurity>
  <Lines>38</Lines>
  <Paragraphs>10</Paragraphs>
  <ScaleCrop>false</ScaleCrop>
  <Company>ZTE Corporation</Company>
  <LinksUpToDate>false</LinksUpToDate>
  <CharactersWithSpaces>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44</cp:revision>
  <cp:lastPrinted>2018-04-07T03:05:00Z</cp:lastPrinted>
  <dcterms:created xsi:type="dcterms:W3CDTF">2021-11-03T01:33:00Z</dcterms:created>
  <dcterms:modified xsi:type="dcterms:W3CDTF">2022-04-29T02:27:00Z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2052-11.8.2.10393</vt:lpwstr>
  </property>
</Properties>
</file>